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252">
        <w:rPr>
          <w:rFonts w:ascii="Times New Roman" w:hAnsi="Times New Roman" w:cs="Times New Roman"/>
          <w:b/>
          <w:sz w:val="28"/>
          <w:szCs w:val="28"/>
        </w:rPr>
        <w:t>Регулирование процессов горения и парообразования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Количест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во сжигаемого топлива, а точнее, тепловыделение в топке в уста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новившемся режиме должно соответствовать количеству выраба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 xml:space="preserve">тываемого пара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Сп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Косвенным показателем тепловыделения Q'T, служит тепловая нагрузка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Gq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. Она характеризует количество теп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лоты, воспринятое поверхностями нагрева в единицу времени и затраченное на нагрев котловой воды в экранных трубах и на па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 xml:space="preserve">рообразование. Количество пара, вырабатываемого котлом должно соответствовать расходу пара на турбину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Gnп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Кос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венным показателем этого соответствия служит давление пара пе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ред турбиной. Оно должно поддерживаться вблизи заданного зна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чения с высокой точностью по условиям экономичности и безопас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ности работы теплоэнергетической установки в целом.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Косвенным показателем устойчи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вости факела в топочной камере служит постоянство разрежения в ее верхней части ST. Регулирование процессов горения и паро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образования в целом сводят к поддержанию вблизи заданных зна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чений следующих величин: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 xml:space="preserve">- давления перегретого пара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роп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и тепловой нагрузки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Gg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;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- избытка воздуха в топке α (содержания 02, %) за паропере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гревателем, влияющего на экономичность процесса горения;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- разрежения в верхней части топки ST.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Регулирование давления свежего пара и тепловой нагруз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ки.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Парогенератор может быть представлен в виде последовательного соединения простых участков, разграниченных конструктивно (см. рис. 12.1): топочной камеры; парообразующей части, состоящей из поверхностей нагрева, расположенных в топочной камере; барабана и па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роперегревателя.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Рассмотрим динамику испарительного участка. Изменение тепловыделения Q'T, приводит к измене</w:t>
      </w:r>
      <w:r w:rsidRPr="00D23252">
        <w:rPr>
          <w:rFonts w:ascii="Times New Roman" w:hAnsi="Times New Roman" w:cs="Times New Roman"/>
          <w:sz w:val="28"/>
          <w:szCs w:val="28"/>
        </w:rPr>
        <w:softHyphen/>
        <w:t xml:space="preserve">нию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паропроизводительности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Gб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и давления пара в барабане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рб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. Если прирост расхода топлива и тепловыделения идет целиком на нагрев пароводяной смеси и металла поверхностей нагрева, то из уравнения теплового баланса следует:</w:t>
      </w:r>
    </w:p>
    <w:p w:rsidR="007978D4" w:rsidRDefault="00D23252" w:rsidP="00D2325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BC49C9" wp14:editId="52AB7462">
            <wp:extent cx="2409825" cy="323850"/>
            <wp:effectExtent l="0" t="0" r="9525" b="0"/>
            <wp:docPr id="1" name="Рисунок 1" descr="clip_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_image00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(1) </w:t>
      </w: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 xml:space="preserve">где А — размерный коэффициент, характеризующий тепловую аккумулирующую способность пароводяной смеси, металла испа­рительной части и барабана;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dpб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dt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скорость изменения давле­ния пара в барабане; Q'T — теплота, затраченная на нагрев паро­водяной смеси;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hн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энтальпия насыщенного пара на выходе из барабана;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</w:t>
      </w:r>
      <w:r w:rsidRPr="00D23252">
        <w:rPr>
          <w:rFonts w:ascii="Times New Roman" w:hAnsi="Times New Roman" w:cs="Times New Roman"/>
          <w:sz w:val="28"/>
          <w:szCs w:val="28"/>
          <w:vertAlign w:val="subscript"/>
        </w:rPr>
        <w:t>ПВ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энтальпия питательной воды;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</w:t>
      </w:r>
      <w:proofErr w:type="gramStart"/>
      <w:r w:rsidRPr="00D23252">
        <w:rPr>
          <w:rFonts w:ascii="Times New Roman" w:hAnsi="Times New Roman" w:cs="Times New Roman"/>
          <w:sz w:val="28"/>
          <w:szCs w:val="28"/>
        </w:rPr>
        <w:t>б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D23252">
        <w:rPr>
          <w:rFonts w:ascii="Times New Roman" w:hAnsi="Times New Roman" w:cs="Times New Roman"/>
          <w:sz w:val="28"/>
          <w:szCs w:val="28"/>
        </w:rPr>
        <w:t>hи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hпв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) — теп­лота, ушедшая с паром.</w:t>
      </w: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Разделив пра</w:t>
      </w:r>
      <w:r>
        <w:rPr>
          <w:rFonts w:ascii="Times New Roman" w:hAnsi="Times New Roman" w:cs="Times New Roman"/>
          <w:sz w:val="28"/>
          <w:szCs w:val="28"/>
        </w:rPr>
        <w:t>вую и левую части уравнения (</w:t>
      </w:r>
      <w:r w:rsidRPr="00D23252">
        <w:rPr>
          <w:rFonts w:ascii="Times New Roman" w:hAnsi="Times New Roman" w:cs="Times New Roman"/>
          <w:sz w:val="28"/>
          <w:szCs w:val="28"/>
        </w:rPr>
        <w:t xml:space="preserve">1) на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hи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hпв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, по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лучим другую форму записи уравнения теплового баланса:</w:t>
      </w:r>
    </w:p>
    <w:p w:rsidR="00D23252" w:rsidRPr="00D23252" w:rsidRDefault="00D23252" w:rsidP="00D2325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6CC3B8" wp14:editId="4A68D356">
            <wp:extent cx="1828800" cy="419100"/>
            <wp:effectExtent l="0" t="0" r="0" b="0"/>
            <wp:docPr id="2" name="Рисунок 2" descr="clip_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ip_image00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(2)</w:t>
      </w:r>
    </w:p>
    <w:p w:rsidR="00D23252" w:rsidRDefault="00D23252" w:rsidP="00D23252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2325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</w:t>
      </w:r>
      <w:r w:rsidRPr="00D2325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ли</w:t>
      </w:r>
    </w:p>
    <w:p w:rsidR="00D23252" w:rsidRPr="00D23252" w:rsidRDefault="00D23252" w:rsidP="00D23252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 </w:t>
      </w:r>
      <w:r>
        <w:rPr>
          <w:noProof/>
          <w:lang w:eastAsia="ru-RU"/>
        </w:rPr>
        <w:drawing>
          <wp:inline distT="0" distB="0" distL="0" distR="0" wp14:anchorId="34D90B2D" wp14:editId="058E8761">
            <wp:extent cx="2419350" cy="314325"/>
            <wp:effectExtent l="0" t="0" r="0" b="9525"/>
            <wp:docPr id="3" name="Рисунок 3" descr="clip_image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ip_image00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lastRenderedPageBreak/>
        <w:t>где СП=А /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hи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hпв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постоянная, характеризующая массовую ак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кумулирующую способность пароводяной смеси и металла испа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рительной части котла, кг</w:t>
      </w:r>
      <w:proofErr w:type="gramStart"/>
      <w:r w:rsidRPr="00D23252">
        <w:rPr>
          <w:rFonts w:ascii="Times New Roman" w:hAnsi="Times New Roman" w:cs="Times New Roman"/>
          <w:sz w:val="28"/>
          <w:szCs w:val="28"/>
        </w:rPr>
        <w:t>/(</w:t>
      </w:r>
      <w:proofErr w:type="gramEnd"/>
      <w:r w:rsidRPr="00D23252">
        <w:rPr>
          <w:rFonts w:ascii="Times New Roman" w:hAnsi="Times New Roman" w:cs="Times New Roman"/>
          <w:sz w:val="28"/>
          <w:szCs w:val="28"/>
        </w:rPr>
        <w:t xml:space="preserve">кгс/см );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Gq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= (Q'Т/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hи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hпв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тепло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вая нагрузка котла, характеризующая тепловосприятие испари</w:t>
      </w:r>
      <w:r w:rsidRPr="00D23252">
        <w:rPr>
          <w:rFonts w:ascii="Times New Roman" w:hAnsi="Times New Roman" w:cs="Times New Roman"/>
          <w:sz w:val="28"/>
          <w:szCs w:val="28"/>
        </w:rPr>
        <w:softHyphen/>
        <w:t>тельных поверхностей в единицу</w:t>
      </w:r>
      <w:r>
        <w:rPr>
          <w:rFonts w:ascii="Times New Roman" w:hAnsi="Times New Roman" w:cs="Times New Roman"/>
          <w:sz w:val="28"/>
          <w:szCs w:val="28"/>
        </w:rPr>
        <w:t xml:space="preserve"> времени, кг/с. Преобразуя </w:t>
      </w:r>
      <w:r w:rsidRPr="00D23252">
        <w:rPr>
          <w:rFonts w:ascii="Times New Roman" w:hAnsi="Times New Roman" w:cs="Times New Roman"/>
          <w:sz w:val="28"/>
          <w:szCs w:val="28"/>
        </w:rPr>
        <w:t>, получаем</w:t>
      </w:r>
    </w:p>
    <w:p w:rsidR="00D23252" w:rsidRDefault="00D23252" w:rsidP="00D2325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D35DB4" wp14:editId="0A398EE8">
            <wp:extent cx="1533525" cy="333375"/>
            <wp:effectExtent l="0" t="0" r="9525" b="9525"/>
            <wp:docPr id="6" name="Рисунок 6" descr="clip_imag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lip_image00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 xml:space="preserve">Структурная схема регулирования тепловой нагрузки, известная под названием теплота — топливо, изображена на рис.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23252">
        <w:rPr>
          <w:rFonts w:ascii="Times New Roman" w:hAnsi="Times New Roman" w:cs="Times New Roman"/>
          <w:sz w:val="28"/>
          <w:szCs w:val="28"/>
        </w:rPr>
        <w:t xml:space="preserve">а, а функциональная — на рис.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23252">
        <w:rPr>
          <w:rFonts w:ascii="Times New Roman" w:hAnsi="Times New Roman" w:cs="Times New Roman"/>
          <w:sz w:val="28"/>
          <w:szCs w:val="28"/>
        </w:rPr>
        <w:t xml:space="preserve">б. Расход пара измеряют по пере­паду на сужающем устройстве, а сигнал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dpб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dt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— с помощью дифференциаторов 4 и 5. Регулятор давления пара I, образующий внешний контур I, выполняет функции автоматического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задатчика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(корректора) по отношению к регуляторам топлива 2 и 3, об­разующим внутренний контур II. Долю участия каждого агрегата в общей паровой нагрузке, как и в предыдущих схемах, устанав­ливают с помощью ручных </w:t>
      </w:r>
      <w:proofErr w:type="spellStart"/>
      <w:r w:rsidRPr="00D23252">
        <w:rPr>
          <w:rFonts w:ascii="Times New Roman" w:hAnsi="Times New Roman" w:cs="Times New Roman"/>
          <w:sz w:val="28"/>
          <w:szCs w:val="28"/>
        </w:rPr>
        <w:t>задатчиков</w:t>
      </w:r>
      <w:proofErr w:type="spellEnd"/>
      <w:r w:rsidRPr="00D23252">
        <w:rPr>
          <w:rFonts w:ascii="Times New Roman" w:hAnsi="Times New Roman" w:cs="Times New Roman"/>
          <w:sz w:val="28"/>
          <w:szCs w:val="28"/>
        </w:rPr>
        <w:t xml:space="preserve"> ЗРУ или УВК верхнего уровня управления. Колебания паровой нагрузки со стороны потребителя возмещают соответствующим изменением задания регулято­рам топлива за счет действия корректирующего регулятора. Все топочные возмущения, приводящие к изменению тепловыделения в топке, устраняют действием стабилизирующих регуляторов.</w:t>
      </w: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ED5CC6A" wp14:editId="1A61393E">
            <wp:extent cx="4314825" cy="4724400"/>
            <wp:effectExtent l="0" t="0" r="9525" b="0"/>
            <wp:docPr id="7" name="Рисунок 7" descr="clip_image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lip_image0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1</w:t>
      </w:r>
      <w:r w:rsidRPr="00D23252">
        <w:rPr>
          <w:rFonts w:ascii="Times New Roman" w:hAnsi="Times New Roman" w:cs="Times New Roman"/>
          <w:sz w:val="28"/>
          <w:szCs w:val="28"/>
        </w:rPr>
        <w:t>. Регулирование подачи топлива по схеме "задание —теплота"</w:t>
      </w:r>
    </w:p>
    <w:p w:rsidR="00D23252" w:rsidRP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3252" w:rsidRDefault="00D23252" w:rsidP="00D232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252">
        <w:rPr>
          <w:rFonts w:ascii="Times New Roman" w:hAnsi="Times New Roman" w:cs="Times New Roman"/>
          <w:sz w:val="28"/>
          <w:szCs w:val="28"/>
        </w:rPr>
        <w:t>а, б — структурная и функциональная схем</w:t>
      </w:r>
      <w:r>
        <w:rPr>
          <w:rFonts w:ascii="Times New Roman" w:hAnsi="Times New Roman" w:cs="Times New Roman"/>
          <w:sz w:val="28"/>
          <w:szCs w:val="28"/>
        </w:rPr>
        <w:t xml:space="preserve">ы; /, // — внешний и внутренний </w:t>
      </w:r>
      <w:r w:rsidRPr="00D23252">
        <w:rPr>
          <w:rFonts w:ascii="Times New Roman" w:hAnsi="Times New Roman" w:cs="Times New Roman"/>
          <w:sz w:val="28"/>
          <w:szCs w:val="28"/>
        </w:rPr>
        <w:t>контуры; 1 — регулятор давления пара; 2,3 — регуляторы топлива; 4,5 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3252">
        <w:rPr>
          <w:rFonts w:ascii="Times New Roman" w:hAnsi="Times New Roman" w:cs="Times New Roman"/>
          <w:sz w:val="28"/>
          <w:szCs w:val="28"/>
        </w:rPr>
        <w:t>дифференциаторы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C7535" w:rsidRDefault="006C7535" w:rsidP="006C753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C7535" w:rsidRPr="006C7535" w:rsidRDefault="006C7535" w:rsidP="006C75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7535" w:rsidRPr="006C7535" w:rsidRDefault="006C7535" w:rsidP="006C75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C7535" w:rsidRPr="00D23252" w:rsidRDefault="006C7535" w:rsidP="006C75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C7535" w:rsidRPr="00D23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15A"/>
    <w:rsid w:val="0040115A"/>
    <w:rsid w:val="006C7535"/>
    <w:rsid w:val="007978D4"/>
    <w:rsid w:val="00D2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FA52A"/>
  <w15:chartTrackingRefBased/>
  <w15:docId w15:val="{9A66DD95-C4D1-479A-8457-B47F1673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753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4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2021-10-14T05:49:00Z</dcterms:created>
  <dcterms:modified xsi:type="dcterms:W3CDTF">2021-10-14T06:09:00Z</dcterms:modified>
</cp:coreProperties>
</file>